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25                          R2-2400210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Athens, Greece, Feb.</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26</w:t>
      </w:r>
      <w:r>
        <w:rPr>
          <w:rFonts w:ascii="Arial" w:hAnsi="Arial" w:eastAsia="MS Mincho" w:cs="Times New Roman"/>
          <w:b/>
          <w:sz w:val="24"/>
          <w:szCs w:val="24"/>
          <w:vertAlign w:val="superscript"/>
          <w:lang w:val="de-DE"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MS Mincho" w:cs="Times New Roman"/>
          <w:b/>
          <w:bCs/>
          <w:sz w:val="24"/>
          <w:szCs w:val="24"/>
          <w:lang w:val="en-US" w:eastAsia="zh-CN" w:bidi="ar-SA"/>
        </w:rPr>
        <w:t>Mar.</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1</w:t>
      </w:r>
      <w:r>
        <w:rPr>
          <w:rFonts w:hint="eastAsia" w:ascii="Arial" w:hAnsi="Arial" w:eastAsia="MS Mincho" w:cs="Times New Roman"/>
          <w:b/>
          <w:sz w:val="24"/>
          <w:szCs w:val="24"/>
          <w:vertAlign w:val="superscript"/>
          <w:lang w:val="en-US" w:eastAsia="zh-CN" w:bidi="ar-SA"/>
        </w:rPr>
        <w:t>st</w:t>
      </w:r>
      <w:r>
        <w:rPr>
          <w:rFonts w:ascii="Arial" w:hAnsi="Arial" w:eastAsia="MS Mincho" w:cs="Times New Roman"/>
          <w:b/>
          <w:sz w:val="24"/>
          <w:szCs w:val="24"/>
          <w:lang w:val="en-GB" w:eastAsia="zh-CN" w:bidi="ar-SA"/>
        </w:rPr>
        <w:t>, 202</w:t>
      </w:r>
      <w:r>
        <w:rPr>
          <w:rFonts w:hint="eastAsia" w:ascii="Arial" w:hAnsi="Arial" w:eastAsia="MS Mincho" w:cs="Times New Roman"/>
          <w:b/>
          <w:sz w:val="24"/>
          <w:szCs w:val="24"/>
          <w:lang w:val="en-US" w:eastAsia="zh-CN" w:bidi="ar-SA"/>
        </w:rPr>
        <w:t>4</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bookmarkStart w:id="11" w:name="_GoBack"/>
      <w:bookmarkEnd w:id="11"/>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7.4.1.3.2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r>
        <w:rPr>
          <w:rFonts w:hint="eastAsia" w:ascii="Arial" w:hAnsi="Arial" w:cs="Arial" w:eastAsiaTheme="minorEastAsia"/>
          <w:b/>
          <w:sz w:val="22"/>
          <w:szCs w:val="22"/>
          <w:lang w:val="en-US" w:eastAsia="zh-CN" w:bidi="ar-SA"/>
        </w:rPr>
        <w:t>remaining issues</w:t>
      </w:r>
      <w:r>
        <w:rPr>
          <w:rFonts w:ascii="Arial" w:hAnsi="Arial" w:cs="Arial" w:eastAsiaTheme="minorEastAsia"/>
          <w:b/>
          <w:sz w:val="22"/>
          <w:szCs w:val="22"/>
          <w:lang w:val="en-US" w:eastAsia="zh-CN" w:bidi="ar-SA"/>
        </w:rPr>
        <w:t xml:space="preserve"> in</w:t>
      </w:r>
      <w:r>
        <w:rPr>
          <w:rFonts w:hint="eastAsia" w:ascii="Arial" w:hAnsi="Arial" w:cs="Arial" w:eastAsiaTheme="minorEastAsia"/>
          <w:b/>
          <w:sz w:val="22"/>
          <w:szCs w:val="22"/>
          <w:lang w:val="en-US" w:eastAsia="zh-CN" w:bidi="ar-SA"/>
        </w:rPr>
        <w:t xml:space="preserve"> Subsequent CPAC</w:t>
      </w:r>
      <w:bookmarkEnd w:id="0"/>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RAN2</w:t>
      </w:r>
      <w:r>
        <w:rPr>
          <w:rFonts w:hint="eastAsia" w:ascii="Arial" w:hAnsi="Arial" w:cs="Arial" w:eastAsiaTheme="minorEastAsia"/>
          <w:szCs w:val="20"/>
          <w:lang w:val="en-GB" w:eastAsia="zh-CN"/>
        </w:rPr>
        <w:t xml:space="preserve"> meeting, </w:t>
      </w:r>
      <w:r>
        <w:rPr>
          <w:rFonts w:hint="eastAsia" w:ascii="Arial" w:hAnsi="Arial" w:cs="Arial" w:eastAsiaTheme="minorEastAsia"/>
          <w:szCs w:val="20"/>
          <w:lang w:val="en-US" w:eastAsia="zh-CN"/>
        </w:rPr>
        <w:t>subsequent CPAC</w:t>
      </w:r>
      <w:r>
        <w:rPr>
          <w:rFonts w:hint="eastAsia" w:ascii="Arial" w:hAnsi="Arial" w:cs="Arial" w:eastAsiaTheme="minorEastAsia"/>
          <w:szCs w:val="20"/>
          <w:lang w:val="en-GB" w:eastAsia="zh-CN"/>
        </w:rPr>
        <w:t xml:space="preserve"> related issues were discussed and the following agreements were achieved [1].</w:t>
      </w:r>
    </w:p>
    <w:tbl>
      <w:tblPr>
        <w:tblStyle w:val="2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For the handling of the used sk_Counter:</w:t>
            </w:r>
          </w:p>
          <w:p>
            <w:pPr>
              <w:pStyle w:val="79"/>
              <w:keepNext w:val="0"/>
              <w:keepLines w:val="0"/>
              <w:widowControl/>
              <w:numPr>
                <w:ilvl w:val="0"/>
                <w:numId w:val="0"/>
              </w:numPr>
              <w:suppressLineNumbers w:val="0"/>
              <w:spacing w:beforeAutospacing="0" w:after="0" w:afterAutospacing="0"/>
              <w:ind w:left="1619" w:right="0"/>
              <w:rPr>
                <w:rFonts w:hint="eastAsia"/>
                <w:sz w:val="20"/>
              </w:rPr>
            </w:pPr>
            <w:r>
              <w:rPr>
                <w:rFonts w:hint="eastAsia"/>
                <w:sz w:val="20"/>
              </w:rPr>
              <w:t>UE removes the selected sk-Counter upon security update and UE select the first sk-counter;</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Remove the following EN in the RRC CR: “Editor’s Note: FFS on how to start conditional reconfiguration evaluation for subsequent CPAC for the following cases: after SCG is release; upon PSCell change/addition completion; upon PCell change completion.”</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eastAsia="宋体"/>
                <w:sz w:val="20"/>
                <w:lang w:eastAsia="zh-CN"/>
              </w:rPr>
            </w:pPr>
            <w:r>
              <w:rPr>
                <w:rFonts w:hint="eastAsia"/>
                <w:sz w:val="20"/>
              </w:rPr>
              <w:t>It is up to the NW to guarantee a valid SCPAC configuration after SCG release/PCell change/PSCell change.</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Complete configuration flag for complete subsequent CPAC candidate configuration is supported. Assume the full configuration procedure is not used for SCAPC.</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The subsequent execution condition is provided as an additional list for each candidate of execution condition to evaluate other candidate as captured in current CR.</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The maximum number of maxSecurityCellSet-r18 is 9 (i.e. maxNrofCondCells+1).</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The maximum sk-Counter number that can be configured for each cell set is 8.</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Inter-node RRC message is used for reference configuration transfer (as captured in running CR).</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eastAsia="zh-CN"/>
              </w:rPr>
            </w:pPr>
            <w:r>
              <w:rPr>
                <w:rFonts w:hint="eastAsia"/>
                <w:sz w:val="20"/>
                <w:lang w:eastAsia="zh-CN"/>
              </w:rPr>
              <w:t>In this release, Assume to use the same target configuration for CPA and CPC (always)</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eastAsia="zh-CN"/>
              </w:rPr>
            </w:pPr>
            <w:r>
              <w:rPr>
                <w:rFonts w:hint="eastAsia"/>
                <w:sz w:val="20"/>
              </w:rPr>
              <w:t xml:space="preserve">The legacy signalling </w:t>
            </w:r>
            <w:r>
              <w:rPr>
                <w:rFonts w:hint="eastAsia"/>
                <w:i/>
                <w:sz w:val="20"/>
              </w:rPr>
              <w:t>CondReconfigToAddModList-r16</w:t>
            </w:r>
            <w:r>
              <w:rPr>
                <w:rFonts w:hint="eastAsia"/>
                <w:sz w:val="20"/>
              </w:rPr>
              <w:t xml:space="preserve"> and </w:t>
            </w:r>
            <w:r>
              <w:rPr>
                <w:rFonts w:hint="eastAsia"/>
                <w:i/>
                <w:sz w:val="20"/>
              </w:rPr>
              <w:t>CondReconfigToRemoveList-r16</w:t>
            </w:r>
            <w:r>
              <w:rPr>
                <w:rFonts w:hint="eastAsia"/>
                <w:sz w:val="20"/>
              </w:rPr>
              <w:t xml:space="preserve"> can be used to update the candidate configuration for subsequent CPAC (similar to the legacy CPAC).</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The SK-counter list parameter introduced in RRC-Reconfiguration can support the required signalling procedure with UE for the security life cycle management indicated in SA3.</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From RAN2 perspective the proposed solution from SA3 for key-mismatch is sufficient.</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rPr>
            </w:pPr>
            <w:r>
              <w:rPr>
                <w:rFonts w:hint="eastAsia"/>
                <w:sz w:val="20"/>
              </w:rPr>
              <w:t>For the SA3 proposed NW behaviour  related to Master-key update impact to SK-counters, The GNB implementation need to ensure that SK-counter-list is also replaced at UE whenever Master-Key-Update is triggered towards UE.  No specification changes needed.</w:t>
            </w:r>
          </w:p>
          <w:p>
            <w:pPr>
              <w:pStyle w:val="41"/>
              <w:keepNext w:val="0"/>
              <w:keepLines w:val="0"/>
              <w:widowControl/>
              <w:suppressLineNumbers w:val="0"/>
              <w:spacing w:before="0" w:beforeAutospacing="0" w:after="0" w:afterAutospacing="0"/>
              <w:ind w:right="0"/>
              <w:rPr>
                <w:rFonts w:hint="eastAsia"/>
                <w:sz w:val="20"/>
                <w:lang w:eastAsia="zh-CN"/>
              </w:rPr>
            </w:pP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eastAsia="宋体"/>
                <w:sz w:val="20"/>
                <w:lang w:val="en-US" w:eastAsia="zh-CN"/>
              </w:rPr>
            </w:pPr>
            <w:bookmarkStart w:id="1" w:name="OLE_LINK23"/>
            <w:bookmarkStart w:id="2" w:name="OLE_LINK24"/>
            <w:r>
              <w:rPr>
                <w:rFonts w:hint="eastAsia"/>
                <w:sz w:val="20"/>
              </w:rPr>
              <w:t xml:space="preserve">It can be up to the NW implementation </w:t>
            </w:r>
            <w:r>
              <w:rPr>
                <w:rFonts w:hint="eastAsia" w:eastAsia="宋体"/>
                <w:sz w:val="20"/>
                <w:lang w:val="en-US" w:eastAsia="zh-CN"/>
              </w:rPr>
              <w:t xml:space="preserve">on whether and how </w:t>
            </w:r>
            <w:r>
              <w:rPr>
                <w:rFonts w:hint="eastAsia"/>
                <w:sz w:val="20"/>
              </w:rPr>
              <w:t>to in</w:t>
            </w:r>
            <w:r>
              <w:rPr>
                <w:rFonts w:hint="eastAsia" w:eastAsia="宋体"/>
                <w:sz w:val="20"/>
                <w:lang w:val="en-US" w:eastAsia="zh-CN"/>
              </w:rPr>
              <w:t xml:space="preserve">clude </w:t>
            </w:r>
            <w:r>
              <w:rPr>
                <w:rFonts w:hint="eastAsia"/>
                <w:sz w:val="20"/>
              </w:rPr>
              <w:t xml:space="preserve">the candidate PSCell(s) that have been prepared by other candidate SN(s) in the SN Addition Request message if the MN has received the response from other candidate SN(s), e.g. </w:t>
            </w:r>
            <w:r>
              <w:rPr>
                <w:rFonts w:hint="eastAsia" w:eastAsia="宋体"/>
                <w:sz w:val="20"/>
                <w:lang w:val="en-US" w:eastAsia="zh-CN"/>
              </w:rPr>
              <w:t xml:space="preserve">for other candidate SN(s), the MN can </w:t>
            </w:r>
            <w:r>
              <w:rPr>
                <w:rFonts w:hint="eastAsia"/>
                <w:sz w:val="20"/>
              </w:rPr>
              <w:t>includ</w:t>
            </w:r>
            <w:r>
              <w:rPr>
                <w:rFonts w:hint="eastAsia" w:eastAsia="宋体"/>
                <w:sz w:val="20"/>
                <w:lang w:val="en-US" w:eastAsia="zh-CN"/>
              </w:rPr>
              <w:t>e</w:t>
            </w:r>
            <w:r>
              <w:rPr>
                <w:rFonts w:hint="eastAsia"/>
                <w:sz w:val="20"/>
              </w:rPr>
              <w:t xml:space="preserve"> only the prepared PSCell(s) in the </w:t>
            </w:r>
            <w:r>
              <w:rPr>
                <w:rFonts w:hint="eastAsia" w:eastAsia="宋体"/>
                <w:sz w:val="20"/>
                <w:lang w:val="en-US" w:eastAsia="zh-CN"/>
              </w:rPr>
              <w:t xml:space="preserve">associated </w:t>
            </w:r>
            <w:r>
              <w:rPr>
                <w:rFonts w:hint="eastAsia"/>
                <w:sz w:val="20"/>
              </w:rPr>
              <w:t>recommend cell list</w:t>
            </w:r>
            <w:r>
              <w:rPr>
                <w:rFonts w:hint="eastAsia" w:eastAsia="宋体"/>
                <w:sz w:val="20"/>
                <w:lang w:val="en-US" w:eastAsia="zh-CN"/>
              </w:rPr>
              <w:t>(s)</w:t>
            </w:r>
            <w:r>
              <w:rPr>
                <w:rFonts w:hint="eastAsia"/>
                <w:sz w:val="20"/>
              </w:rPr>
              <w:t xml:space="preserve">. </w:t>
            </w:r>
            <w:r>
              <w:rPr>
                <w:rFonts w:hint="eastAsia" w:eastAsia="宋体"/>
                <w:sz w:val="20"/>
                <w:lang w:val="en-US" w:eastAsia="zh-CN"/>
              </w:rPr>
              <w:t>No change to the existing recommend cell list is expected.</w:t>
            </w:r>
            <w:bookmarkEnd w:id="1"/>
            <w:bookmarkEnd w:id="2"/>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val="en-US" w:eastAsia="zh-CN"/>
              </w:rPr>
            </w:pPr>
            <w:r>
              <w:rPr>
                <w:rFonts w:hint="eastAsia"/>
                <w:sz w:val="20"/>
                <w:lang w:val="en-US" w:eastAsia="zh-CN"/>
              </w:rPr>
              <w:t>For intra-SN subsequent CPAC in MN format, the source SN informs the MN to generate the MN RRCReconfiguration message for intra-SN subsequent CPAC configuration. The detailed indicator is up to RAN3 decision, e.g. implicit or explicit indicator.</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val="en-US" w:eastAsia="zh-CN"/>
              </w:rPr>
            </w:pPr>
            <w:r>
              <w:rPr>
                <w:rFonts w:hint="eastAsia"/>
                <w:sz w:val="20"/>
                <w:lang w:val="en-US" w:eastAsia="zh-CN"/>
              </w:rPr>
              <w:t xml:space="preserve">For intra-SN subsequent CPAC in MN format, the source SN sends the prepared PSCell ID(s), the candidate SCG configuration(s) and associated execution condition(s) to the MN, to let the MN generate the final MN RRCReconfiguration message for intra-SN subsequent CPAC configuration. The detailed inter-node RRC signalling is up to the RRC CR discussion. </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eastAsia="宋体"/>
                <w:b w:val="0"/>
                <w:bCs/>
                <w:sz w:val="20"/>
                <w:lang w:val="en-US" w:eastAsia="zh-CN"/>
              </w:rPr>
            </w:pPr>
            <w:r>
              <w:rPr>
                <w:rFonts w:hint="eastAsia"/>
                <w:sz w:val="20"/>
                <w:lang w:val="en-US" w:eastAsia="zh-CN"/>
              </w:rPr>
              <w:t>No need to capture a NOTE in the 37.340 specification. Just remove the following EN from the 37.340 CR.</w:t>
            </w:r>
            <w:r>
              <w:rPr>
                <w:rFonts w:hint="eastAsia"/>
                <w:i/>
                <w:iCs/>
                <w:sz w:val="20"/>
              </w:rPr>
              <w:t xml:space="preserve"> Editor</w:t>
            </w:r>
            <w:r>
              <w:rPr>
                <w:rFonts w:hint="eastAsia"/>
                <w:i/>
                <w:iCs/>
                <w:sz w:val="20"/>
                <w:lang w:val="en-US"/>
              </w:rPr>
              <w:t>’s</w:t>
            </w:r>
            <w:r>
              <w:rPr>
                <w:rFonts w:hint="eastAsia"/>
                <w:i/>
                <w:iCs/>
                <w:sz w:val="20"/>
              </w:rPr>
              <w:t xml:space="preserve"> note: FFS whether and how to include the candidate PSCell(s) that have been prepared by other candidate SN(s) into the SN Addition Request message.</w:t>
            </w:r>
            <w:r>
              <w:rPr>
                <w:rFonts w:hint="eastAsia" w:eastAsia="宋体"/>
                <w:b w:val="0"/>
                <w:bCs/>
                <w:sz w:val="20"/>
                <w:lang w:val="en-US" w:eastAsia="zh-CN"/>
              </w:rPr>
              <w:t xml:space="preserve"> </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val="en-US"/>
              </w:rPr>
            </w:pPr>
            <w:r>
              <w:rPr>
                <w:rFonts w:hint="eastAsia"/>
                <w:sz w:val="20"/>
                <w:lang w:val="en-US"/>
              </w:rPr>
              <w:t>RAN2 confirms that both MN format and SN format can be used for intra-SN subsequent CPAC. And It’s up to the source SN to decide which format to be used.</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eastAsia="PMingLiU"/>
                <w:sz w:val="20"/>
                <w:lang w:val="en-US" w:eastAsia="zh-CN"/>
              </w:rPr>
            </w:pPr>
            <w:r>
              <w:rPr>
                <w:rFonts w:hint="eastAsia"/>
                <w:sz w:val="20"/>
                <w:lang w:val="en-US" w:eastAsia="zh-CN"/>
              </w:rPr>
              <w:t>It’s up to RAN3 to discuss and decide the procedure for intra-SN subsequent CPAC in MN format.</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eastAsia="宋体"/>
                <w:sz w:val="20"/>
                <w:lang w:val="en-US" w:eastAsia="zh-CN"/>
              </w:rPr>
            </w:pPr>
            <w:r>
              <w:rPr>
                <w:rFonts w:hint="eastAsia"/>
                <w:sz w:val="20"/>
                <w:lang w:val="en-US" w:eastAsia="zh-CN"/>
              </w:rPr>
              <w:t>It’s up to RAN3 to decide whether to introduce a separate flow chart and procedural text for intra-SN subsequent CPAC with MN involvement procedure. (related to proposal 3)</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val="en-US"/>
              </w:rPr>
            </w:pPr>
            <w:r>
              <w:rPr>
                <w:rFonts w:hint="eastAsia"/>
                <w:sz w:val="20"/>
                <w:lang w:val="en-US"/>
              </w:rPr>
              <w:t>The granularity to update the sk-counter configuration is per sk-counter list that is associated with a cell set ID.</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val="en-US"/>
              </w:rPr>
            </w:pPr>
            <w:r>
              <w:rPr>
                <w:rFonts w:hint="eastAsia"/>
                <w:sz w:val="20"/>
                <w:lang w:val="en-US"/>
              </w:rPr>
              <w:t>Rely on NW to guarantee the validity of servingSecurityCellSetID after normal PSCell change, i.e. NW update the sourceSecurityCellSetID if the SecurityCellSetID of target PScell is different.</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val="en-US"/>
              </w:rPr>
            </w:pPr>
            <w:r>
              <w:rPr>
                <w:rFonts w:hint="eastAsia"/>
                <w:sz w:val="20"/>
                <w:lang w:val="en-US"/>
              </w:rPr>
              <w:t xml:space="preserve">UE releases the stored sk-counter configuration and the entries within VarServingSecurityCellSetID if all SCPAC configurations are released. </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val="en-US"/>
              </w:rPr>
            </w:pPr>
            <w:r>
              <w:rPr>
                <w:rFonts w:hint="eastAsia"/>
                <w:sz w:val="20"/>
                <w:lang w:val="en-US"/>
              </w:rPr>
              <w:t>UE stops evaluating the subsequent CPC execution conditions upon MCG failure and SCG failure.</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val="en-US"/>
              </w:rPr>
            </w:pPr>
            <w:r>
              <w:rPr>
                <w:rFonts w:hint="eastAsia"/>
                <w:sz w:val="20"/>
                <w:lang w:val="en-US"/>
              </w:rPr>
              <w:t>UE maintains the subsequent CPAC configurations upon MCG failure and SCG failure and relies on explicit signalling to release.</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val="en-US"/>
              </w:rPr>
            </w:pPr>
            <w:r>
              <w:rPr>
                <w:rFonts w:hint="eastAsia"/>
                <w:sz w:val="20"/>
                <w:lang w:val="en-US"/>
              </w:rPr>
              <w:t>Follow LTM on SCPAC candidate cell configuration application.</w:t>
            </w:r>
          </w:p>
          <w:p>
            <w:pPr>
              <w:pStyle w:val="79"/>
              <w:keepNext w:val="0"/>
              <w:keepLines w:val="0"/>
              <w:widowControl/>
              <w:suppressLineNumbers w:val="0"/>
              <w:overflowPunct/>
              <w:autoSpaceDE/>
              <w:autoSpaceDN/>
              <w:adjustRightInd/>
              <w:spacing w:beforeAutospacing="0" w:after="0" w:afterAutospacing="0"/>
              <w:ind w:left="1619" w:right="0" w:hanging="360"/>
              <w:textAlignment w:val="auto"/>
              <w:rPr>
                <w:rFonts w:hint="eastAsia"/>
                <w:sz w:val="20"/>
                <w:lang w:val="en-US"/>
              </w:rPr>
            </w:pPr>
            <w:r>
              <w:rPr>
                <w:rFonts w:hint="eastAsia"/>
                <w:sz w:val="20"/>
                <w:lang w:val="en-US"/>
              </w:rPr>
              <w:t>Assume that Common procedure is used for SCPAC execution for the candidate provided as MN format and SN format</w:t>
            </w:r>
          </w:p>
          <w:p>
            <w:pPr>
              <w:pStyle w:val="41"/>
              <w:keepNext w:val="0"/>
              <w:keepLines w:val="0"/>
              <w:widowControl/>
              <w:suppressLineNumbers w:val="0"/>
              <w:spacing w:before="0" w:beforeAutospacing="0" w:after="0" w:afterAutospacing="0"/>
              <w:ind w:right="0"/>
              <w:rPr>
                <w:rFonts w:hint="eastAsia"/>
                <w:sz w:val="20"/>
                <w:lang w:val="en-US" w:eastAsia="zh-CN"/>
              </w:rPr>
            </w:pPr>
          </w:p>
          <w:p>
            <w:pPr>
              <w:pStyle w:val="41"/>
              <w:keepNext w:val="0"/>
              <w:keepLines w:val="0"/>
              <w:widowControl/>
              <w:suppressLineNumbers w:val="0"/>
              <w:spacing w:before="0" w:beforeAutospacing="0" w:after="0" w:afterAutospacing="0"/>
              <w:ind w:right="0"/>
              <w:rPr>
                <w:rFonts w:hint="eastAsia"/>
                <w:sz w:val="20"/>
              </w:rPr>
            </w:pPr>
          </w:p>
        </w:tc>
      </w:tr>
    </w:tbl>
    <w:p>
      <w:pPr>
        <w:pStyle w:val="11"/>
        <w:spacing w:before="120"/>
        <w:rPr>
          <w:rFonts w:ascii="Arial" w:hAnsi="Arial" w:cs="Arial" w:eastAsiaTheme="minorEastAsia"/>
          <w:szCs w:val="20"/>
          <w:lang w:eastAsia="zh-CN"/>
        </w:rPr>
      </w:pPr>
      <w:r>
        <w:rPr>
          <w:rFonts w:hint="eastAsia" w:ascii="Arial" w:hAnsi="Arial" w:cs="Arial"/>
          <w:szCs w:val="20"/>
        </w:rPr>
        <w:t xml:space="preserve">However </w:t>
      </w:r>
      <w:r>
        <w:rPr>
          <w:rFonts w:hint="eastAsia" w:ascii="Arial" w:hAnsi="Arial" w:eastAsia="宋体" w:cs="Arial"/>
          <w:szCs w:val="20"/>
          <w:lang w:val="en-US" w:eastAsia="zh-CN"/>
        </w:rPr>
        <w:t xml:space="preserve">we think </w:t>
      </w:r>
      <w:r>
        <w:rPr>
          <w:rFonts w:hint="eastAsia" w:ascii="Arial" w:hAnsi="Arial" w:cs="Arial"/>
          <w:szCs w:val="20"/>
        </w:rPr>
        <w:t xml:space="preserve">there are still </w:t>
      </w:r>
      <w:r>
        <w:rPr>
          <w:rFonts w:hint="eastAsia" w:ascii="Arial" w:hAnsi="Arial" w:eastAsia="宋体" w:cs="Arial"/>
          <w:szCs w:val="20"/>
          <w:lang w:val="en-US" w:eastAsia="zh-CN"/>
        </w:rPr>
        <w:t>some</w:t>
      </w:r>
      <w:r>
        <w:rPr>
          <w:rFonts w:hint="eastAsia" w:ascii="Arial" w:hAnsi="Arial" w:cs="Arial"/>
          <w:szCs w:val="20"/>
        </w:rPr>
        <w:t xml:space="preserve"> issue</w:t>
      </w:r>
      <w:r>
        <w:rPr>
          <w:rFonts w:hint="eastAsia" w:ascii="Arial" w:hAnsi="Arial" w:eastAsia="宋体" w:cs="Arial"/>
          <w:szCs w:val="20"/>
          <w:lang w:val="en-US" w:eastAsia="zh-CN"/>
        </w:rPr>
        <w:t>s</w:t>
      </w:r>
      <w:r>
        <w:rPr>
          <w:rFonts w:hint="eastAsia" w:ascii="Arial" w:hAnsi="Arial" w:cs="Arial"/>
          <w:szCs w:val="20"/>
        </w:rPr>
        <w:t xml:space="preserve"> regarding </w:t>
      </w:r>
      <w:r>
        <w:rPr>
          <w:rFonts w:hint="eastAsia" w:ascii="Arial" w:hAnsi="Arial" w:eastAsia="宋体" w:cs="Arial"/>
          <w:szCs w:val="20"/>
          <w:lang w:val="en-US" w:eastAsia="zh-CN"/>
        </w:rPr>
        <w:t>when to start subsequent CPC/CPA</w:t>
      </w:r>
      <w:r>
        <w:rPr>
          <w:rFonts w:hint="eastAsia" w:ascii="Arial" w:hAnsi="Arial" w:cs="Arial"/>
          <w:szCs w:val="20"/>
        </w:rPr>
        <w:t>. In this contribution, we provide our views on t</w:t>
      </w:r>
      <w:r>
        <w:rPr>
          <w:rFonts w:hint="eastAsia" w:ascii="Arial" w:hAnsi="Arial" w:eastAsia="宋体" w:cs="Arial"/>
          <w:szCs w:val="20"/>
          <w:lang w:val="en-US" w:eastAsia="zh-CN"/>
        </w:rPr>
        <w:t>hese</w:t>
      </w:r>
      <w:r>
        <w:rPr>
          <w:rFonts w:hint="eastAsia" w:ascii="Arial" w:hAnsi="Arial" w:cs="Arial"/>
          <w:szCs w:val="20"/>
        </w:rPr>
        <w:t xml:space="preserve"> issue</w:t>
      </w:r>
      <w:r>
        <w:rPr>
          <w:rFonts w:hint="eastAsia" w:ascii="Arial" w:hAnsi="Arial" w:eastAsia="宋体" w:cs="Arial"/>
          <w:szCs w:val="20"/>
          <w:lang w:val="en-US" w:eastAsia="zh-CN"/>
        </w:rPr>
        <w:t>s</w:t>
      </w:r>
      <w:r>
        <w:rPr>
          <w:rFonts w:hint="eastAsia" w:ascii="Arial" w:hAnsi="Arial" w:cs="Arial"/>
          <w:szCs w:val="20"/>
        </w:rPr>
        <w:t>.</w:t>
      </w:r>
    </w:p>
    <w:p>
      <w:pPr>
        <w:pStyle w:val="2"/>
        <w:keepLines/>
        <w:pBdr>
          <w:top w:val="single" w:color="auto" w:sz="12" w:space="3"/>
        </w:pBdr>
        <w:spacing w:before="240" w:after="180"/>
        <w:ind w:left="425" w:hanging="425"/>
        <w:jc w:val="both"/>
      </w:pPr>
      <w:r>
        <w:t>Discussion</w:t>
      </w:r>
    </w:p>
    <w:p>
      <w:pPr>
        <w:pStyle w:val="11"/>
        <w:keepLines w:val="0"/>
        <w:pageBreakBefore w:val="0"/>
        <w:kinsoku/>
        <w:wordWrap/>
        <w:topLinePunct w:val="0"/>
        <w:bidi w:val="0"/>
        <w:snapToGrid/>
        <w:spacing w:before="120" w:beforeLines="50" w:line="360" w:lineRule="auto"/>
        <w:rPr>
          <w:rFonts w:hint="default" w:ascii="Arial" w:hAnsi="Arial" w:eastAsia="宋体" w:cs="Arial"/>
          <w:lang w:val="en-US" w:eastAsia="zh-CN"/>
        </w:rPr>
      </w:pPr>
      <w:r>
        <w:rPr>
          <w:rFonts w:hint="eastAsia" w:ascii="Arial" w:hAnsi="Arial" w:cs="Arial"/>
          <w:sz w:val="21"/>
          <w:lang w:val="en-US" w:eastAsia="zh-CN"/>
        </w:rPr>
        <w:t>S</w:t>
      </w:r>
      <w:r>
        <w:rPr>
          <w:rFonts w:hint="default" w:ascii="Arial" w:hAnsi="Arial" w:cs="Arial"/>
          <w:sz w:val="21"/>
          <w:lang w:val="en-US" w:eastAsia="zh-CN"/>
        </w:rPr>
        <w:t xml:space="preserve">ubsequent CPAC is defined as a conditional PSCell addition or change procedure that is executed after a PSCell addition, a PSCell change, a PCell change or an SCG release based on pre-configured subsequent CPAC configuration of candidate PSCell(s) without reconfiguration and re-initiation of CPC/CPA. The UE keeps the configured subsequent CPAC configuration (unless the network indicates to release it) and evaluates the execution conditions of candidate PSCells after completion of a PSCell addition, a PSCell change, a PCell change or an SCG release. </w:t>
      </w:r>
      <w:r>
        <w:rPr>
          <w:rFonts w:hint="eastAsia" w:ascii="Arial" w:hAnsi="Arial" w:cs="Arial"/>
          <w:sz w:val="21"/>
          <w:lang w:val="en-US" w:eastAsia="zh-CN"/>
        </w:rPr>
        <w:t xml:space="preserve">However for the subsequent CPAC </w:t>
      </w:r>
      <w:r>
        <w:rPr>
          <w:rFonts w:hint="eastAsia" w:ascii="Arial" w:hAnsi="Arial" w:eastAsia="宋体" w:cs="Arial"/>
          <w:lang w:val="en-US" w:eastAsia="zh-CN"/>
        </w:rPr>
        <w:t>a</w:t>
      </w:r>
      <w:r>
        <w:rPr>
          <w:rFonts w:hint="default" w:ascii="Arial" w:hAnsi="Arial" w:eastAsia="宋体" w:cs="Arial"/>
          <w:lang w:val="en-US" w:eastAsia="zh-CN"/>
        </w:rPr>
        <w:t>s the UE has just performed PSCell handover, the signal quality of the PSCell may</w:t>
      </w:r>
      <w:r>
        <w:rPr>
          <w:rFonts w:hint="eastAsia" w:ascii="Arial" w:hAnsi="Arial" w:eastAsia="宋体" w:cs="Arial"/>
          <w:lang w:val="en-US" w:eastAsia="zh-CN"/>
        </w:rPr>
        <w:t xml:space="preserve"> </w:t>
      </w:r>
      <w:r>
        <w:rPr>
          <w:rFonts w:hint="default" w:ascii="Arial" w:hAnsi="Arial" w:eastAsia="宋体" w:cs="Arial"/>
          <w:lang w:val="en-US" w:eastAsia="zh-CN"/>
        </w:rPr>
        <w:t>be good enough,</w:t>
      </w:r>
      <w:r>
        <w:rPr>
          <w:rFonts w:hint="eastAsia" w:ascii="Arial" w:hAnsi="Arial" w:eastAsia="宋体" w:cs="Arial"/>
          <w:lang w:val="en-US" w:eastAsia="zh-CN"/>
        </w:rPr>
        <w:t xml:space="preserve"> moreover if the UE moving torwards the cell center, then the signal quality of the PSCell will become better. If </w:t>
      </w:r>
      <w:r>
        <w:rPr>
          <w:rFonts w:hint="default" w:ascii="Arial" w:hAnsi="Arial" w:eastAsia="宋体" w:cs="Arial"/>
          <w:lang w:val="en-US" w:eastAsia="zh-CN"/>
        </w:rPr>
        <w:t>the UE starts evaluat</w:t>
      </w:r>
      <w:r>
        <w:rPr>
          <w:rFonts w:hint="eastAsia" w:ascii="Arial" w:hAnsi="Arial" w:eastAsia="宋体" w:cs="Arial"/>
          <w:lang w:val="en-US" w:eastAsia="zh-CN"/>
        </w:rPr>
        <w:t>ing</w:t>
      </w:r>
      <w:r>
        <w:rPr>
          <w:rFonts w:hint="default" w:ascii="Arial" w:hAnsi="Arial" w:eastAsia="宋体" w:cs="Arial"/>
          <w:lang w:val="en-US" w:eastAsia="zh-CN"/>
        </w:rPr>
        <w:t xml:space="preserve"> the execution conditions of other candidate PSCell immediately</w:t>
      </w:r>
      <w:r>
        <w:rPr>
          <w:rFonts w:hint="eastAsia" w:ascii="Arial" w:hAnsi="Arial" w:eastAsia="宋体" w:cs="Arial"/>
          <w:lang w:val="en-US" w:eastAsia="zh-CN"/>
        </w:rPr>
        <w:t xml:space="preserve"> after previous CPC executing, it will</w:t>
      </w:r>
      <w:r>
        <w:rPr>
          <w:rFonts w:hint="default" w:ascii="Arial" w:hAnsi="Arial" w:eastAsia="宋体" w:cs="Arial"/>
          <w:lang w:val="en-US" w:eastAsia="zh-CN"/>
        </w:rPr>
        <w:t xml:space="preserve"> cause measurement overload and unnecessary energy consumption.</w:t>
      </w:r>
      <w:r>
        <w:rPr>
          <w:rFonts w:hint="eastAsia" w:ascii="Arial" w:hAnsi="Arial" w:eastAsia="宋体" w:cs="Arial"/>
          <w:lang w:val="en-US" w:eastAsia="zh-CN"/>
        </w:rPr>
        <w:t xml:space="preserve"> So</w:t>
      </w:r>
      <w:bookmarkStart w:id="3" w:name="_Toc118470748"/>
      <w:r>
        <w:rPr>
          <w:rFonts w:ascii="Arial" w:hAnsi="Arial" w:cs="Arial"/>
        </w:rPr>
        <w:t xml:space="preserve"> when</w:t>
      </w:r>
      <w:r>
        <w:rPr>
          <w:rFonts w:hint="eastAsia" w:ascii="Arial" w:hAnsi="Arial" w:eastAsia="宋体" w:cs="Arial"/>
          <w:lang w:val="en-US" w:eastAsia="zh-CN"/>
        </w:rPr>
        <w:t xml:space="preserve"> the UE</w:t>
      </w:r>
      <w:r>
        <w:rPr>
          <w:rFonts w:ascii="Arial" w:hAnsi="Arial" w:cs="Arial"/>
        </w:rPr>
        <w:t xml:space="preserve"> start</w:t>
      </w:r>
      <w:r>
        <w:rPr>
          <w:rFonts w:hint="eastAsia" w:ascii="Arial" w:hAnsi="Arial" w:eastAsia="宋体" w:cs="Arial"/>
          <w:lang w:val="en-US" w:eastAsia="zh-CN"/>
        </w:rPr>
        <w:t xml:space="preserve">s evaluating the </w:t>
      </w:r>
      <w:r>
        <w:rPr>
          <w:rFonts w:hint="default" w:ascii="Arial" w:hAnsi="Arial" w:eastAsia="宋体" w:cs="Arial"/>
          <w:lang w:val="en-US" w:eastAsia="zh-CN"/>
        </w:rPr>
        <w:t>execution condition</w:t>
      </w:r>
      <w:r>
        <w:rPr>
          <w:rFonts w:hint="eastAsia" w:ascii="Arial" w:hAnsi="Arial" w:eastAsia="宋体" w:cs="Arial"/>
          <w:lang w:val="en-US" w:eastAsia="zh-CN"/>
        </w:rPr>
        <w:t xml:space="preserve"> for </w:t>
      </w:r>
      <w:r>
        <w:rPr>
          <w:rFonts w:hint="default" w:ascii="Arial" w:hAnsi="Arial" w:eastAsia="宋体" w:cs="Arial"/>
          <w:lang w:val="en-US" w:eastAsia="zh-CN"/>
        </w:rPr>
        <w:t>subsequent CPC</w:t>
      </w:r>
      <w:r>
        <w:rPr>
          <w:rFonts w:hint="eastAsia" w:ascii="Arial" w:hAnsi="Arial" w:eastAsia="宋体" w:cs="Arial"/>
          <w:lang w:val="en-US" w:eastAsia="zh-CN"/>
        </w:rPr>
        <w:t xml:space="preserve"> need to be specified</w:t>
      </w:r>
      <w:r>
        <w:rPr>
          <w:rFonts w:ascii="Arial" w:hAnsi="Arial" w:cs="Arial"/>
        </w:rPr>
        <w:t>.</w:t>
      </w:r>
      <w:bookmarkEnd w:id="3"/>
      <w:r>
        <w:rPr>
          <w:rFonts w:ascii="Arial" w:hAnsi="Arial" w:cs="Arial"/>
        </w:rPr>
        <w:t xml:space="preserve"> </w:t>
      </w:r>
      <w:r>
        <w:rPr>
          <w:rFonts w:hint="eastAsia" w:ascii="Arial" w:hAnsi="Arial" w:eastAsia="宋体" w:cs="Arial"/>
          <w:lang w:val="en-US" w:eastAsia="zh-CN"/>
        </w:rPr>
        <w:t>One simple solution is that after previous CPC executing, the UE needn</w:t>
      </w:r>
      <w:r>
        <w:rPr>
          <w:rFonts w:hint="default" w:ascii="Arial" w:hAnsi="Arial" w:eastAsia="宋体" w:cs="Arial"/>
          <w:lang w:val="en-US" w:eastAsia="zh-CN"/>
        </w:rPr>
        <w:t>’</w:t>
      </w:r>
      <w:r>
        <w:rPr>
          <w:rFonts w:hint="eastAsia" w:ascii="Arial" w:hAnsi="Arial" w:eastAsia="宋体" w:cs="Arial"/>
          <w:lang w:val="en-US" w:eastAsia="zh-CN"/>
        </w:rPr>
        <w:t xml:space="preserve">t to start execution condition evaluating until the </w:t>
      </w:r>
      <w:r>
        <w:rPr>
          <w:rFonts w:hint="default" w:ascii="Arial" w:hAnsi="Arial" w:eastAsia="宋体" w:cs="Arial"/>
          <w:lang w:val="en-US" w:eastAsia="zh-CN"/>
        </w:rPr>
        <w:t xml:space="preserve">signal quality of </w:t>
      </w:r>
      <w:r>
        <w:rPr>
          <w:rFonts w:hint="eastAsia" w:ascii="Arial" w:hAnsi="Arial" w:eastAsia="宋体" w:cs="Arial"/>
          <w:lang w:val="en-US" w:eastAsia="zh-CN"/>
        </w:rPr>
        <w:t xml:space="preserve">current serving </w:t>
      </w:r>
      <w:r>
        <w:rPr>
          <w:rFonts w:hint="default" w:ascii="Arial" w:hAnsi="Arial" w:eastAsia="宋体" w:cs="Arial"/>
          <w:lang w:val="en-US" w:eastAsia="zh-CN"/>
        </w:rPr>
        <w:t>PSCell</w:t>
      </w:r>
      <w:r>
        <w:rPr>
          <w:rFonts w:hint="eastAsia" w:ascii="Arial" w:hAnsi="Arial" w:eastAsia="宋体" w:cs="Arial"/>
          <w:lang w:val="en-US" w:eastAsia="zh-CN"/>
        </w:rPr>
        <w:t xml:space="preserve"> below a threshold(a A2 event can be used).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GB" w:eastAsia="zh-CN"/>
        </w:rPr>
      </w:pPr>
      <w:bookmarkStart w:id="4" w:name="OLE_LINK7"/>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 xml:space="preserve">: </w:t>
      </w:r>
      <w:r>
        <w:rPr>
          <w:rFonts w:hint="eastAsia" w:ascii="Arial" w:hAnsi="Arial" w:eastAsia="宋体" w:cs="Arial"/>
          <w:lang w:val="en-US" w:eastAsia="zh-CN"/>
        </w:rPr>
        <w:t>UE doesn</w:t>
      </w:r>
      <w:r>
        <w:rPr>
          <w:rFonts w:hint="default" w:ascii="Arial" w:hAnsi="Arial" w:eastAsia="宋体" w:cs="Arial"/>
          <w:lang w:val="en-US" w:eastAsia="zh-CN"/>
        </w:rPr>
        <w:t>’</w:t>
      </w:r>
      <w:r>
        <w:rPr>
          <w:rFonts w:hint="eastAsia" w:ascii="Arial" w:hAnsi="Arial" w:eastAsia="宋体" w:cs="Arial"/>
          <w:lang w:val="en-US" w:eastAsia="zh-CN"/>
        </w:rPr>
        <w:t xml:space="preserve">t </w:t>
      </w:r>
      <w:bookmarkStart w:id="5" w:name="OLE_LINK1"/>
      <w:r>
        <w:rPr>
          <w:rFonts w:hint="eastAsia" w:ascii="Arial" w:hAnsi="Arial" w:eastAsia="宋体" w:cs="Arial"/>
          <w:lang w:val="en-US" w:eastAsia="zh-CN"/>
        </w:rPr>
        <w:t>start execution condition evaluating for subsequent CPC</w:t>
      </w:r>
      <w:bookmarkEnd w:id="5"/>
      <w:r>
        <w:rPr>
          <w:rFonts w:hint="eastAsia" w:ascii="Arial" w:hAnsi="Arial" w:eastAsia="宋体" w:cs="Arial"/>
          <w:lang w:val="en-US" w:eastAsia="zh-CN"/>
        </w:rPr>
        <w:t xml:space="preserve"> after previous CPC executing until the </w:t>
      </w:r>
      <w:r>
        <w:rPr>
          <w:rFonts w:hint="default" w:ascii="Arial" w:hAnsi="Arial" w:eastAsia="宋体" w:cs="Arial"/>
          <w:lang w:val="en-US" w:eastAsia="zh-CN"/>
        </w:rPr>
        <w:t xml:space="preserve">signal quality of </w:t>
      </w:r>
      <w:r>
        <w:rPr>
          <w:rFonts w:hint="eastAsia" w:ascii="Arial" w:hAnsi="Arial" w:eastAsia="宋体" w:cs="Arial"/>
          <w:lang w:val="en-US" w:eastAsia="zh-CN"/>
        </w:rPr>
        <w:t xml:space="preserve">current serving </w:t>
      </w:r>
      <w:r>
        <w:rPr>
          <w:rFonts w:hint="default" w:ascii="Arial" w:hAnsi="Arial" w:eastAsia="宋体" w:cs="Arial"/>
          <w:lang w:val="en-US" w:eastAsia="zh-CN"/>
        </w:rPr>
        <w:t>PSCell</w:t>
      </w:r>
      <w:r>
        <w:rPr>
          <w:rFonts w:hint="eastAsia" w:ascii="Arial" w:hAnsi="Arial" w:eastAsia="宋体" w:cs="Arial"/>
          <w:lang w:val="en-US" w:eastAsia="zh-CN"/>
        </w:rPr>
        <w:t xml:space="preserve"> below a threshold</w:t>
      </w:r>
      <w:r>
        <w:rPr>
          <w:rFonts w:hint="eastAsia" w:ascii="Arial" w:hAnsi="Arial" w:cs="Arial" w:eastAsiaTheme="minorEastAsia"/>
          <w:bCs w:val="0"/>
          <w:sz w:val="20"/>
          <w:szCs w:val="20"/>
          <w:lang w:val="en-GB" w:eastAsia="zh-CN"/>
        </w:rPr>
        <w:t>.</w:t>
      </w:r>
      <w:bookmarkEnd w:id="4"/>
    </w:p>
    <w:p/>
    <w:p>
      <w:pPr>
        <w:pStyle w:val="34"/>
        <w:keepLines w:val="0"/>
        <w:pageBreakBefore w:val="0"/>
        <w:numPr>
          <w:ilvl w:val="0"/>
          <w:numId w:val="0"/>
        </w:numPr>
        <w:kinsoku/>
        <w:wordWrap/>
        <w:overflowPunct w:val="0"/>
        <w:topLinePunct w:val="0"/>
        <w:autoSpaceDE w:val="0"/>
        <w:autoSpaceDN w:val="0"/>
        <w:bidi w:val="0"/>
        <w:adjustRightInd w:val="0"/>
        <w:snapToGrid/>
        <w:spacing w:after="180" w:line="360" w:lineRule="auto"/>
        <w:contextualSpacing/>
        <w:jc w:val="both"/>
        <w:textAlignment w:val="baseline"/>
        <w:rPr>
          <w:rFonts w:hint="default" w:ascii="Arial" w:hAnsi="Arial" w:eastAsia="宋体" w:cs="Arial"/>
          <w:sz w:val="21"/>
          <w:lang w:val="en-US" w:eastAsia="zh-CN"/>
        </w:rPr>
      </w:pPr>
      <w:r>
        <w:rPr>
          <w:rFonts w:hint="eastAsia" w:ascii="Arial" w:hAnsi="Arial" w:cs="Arial" w:eastAsiaTheme="minorEastAsia"/>
          <w:b w:val="0"/>
          <w:bCs/>
          <w:sz w:val="20"/>
          <w:szCs w:val="20"/>
          <w:lang w:val="en-US" w:eastAsia="zh-CN"/>
        </w:rPr>
        <w:t xml:space="preserve">The subsequent CPAC configuration with CPA execution condition(s) maintained after SCG release can be used for the subsequent CPA execution. </w:t>
      </w:r>
      <w:r>
        <w:rPr>
          <w:rFonts w:hint="eastAsia" w:ascii="Arial" w:hAnsi="Arial" w:cs="Arial" w:eastAsiaTheme="minorEastAsia"/>
          <w:b w:val="0"/>
          <w:szCs w:val="20"/>
          <w:lang w:val="en-US" w:eastAsia="zh-CN"/>
        </w:rPr>
        <w:t xml:space="preserve">Howover </w:t>
      </w:r>
      <w:r>
        <w:rPr>
          <w:rFonts w:hint="default" w:ascii="Arial" w:hAnsi="Arial" w:eastAsia="宋体" w:cs="Arial"/>
          <w:lang w:val="en-US" w:eastAsia="zh-CN"/>
        </w:rPr>
        <w:t xml:space="preserve">the </w:t>
      </w:r>
      <w:r>
        <w:rPr>
          <w:rFonts w:hint="eastAsia" w:ascii="Arial" w:hAnsi="Arial" w:eastAsia="宋体" w:cs="Arial"/>
          <w:lang w:val="en-US" w:eastAsia="zh-CN"/>
        </w:rPr>
        <w:t>network release the SCG while keep the UE maintaining the SCAPC configuration maybe for some reason.</w:t>
      </w:r>
      <w:r>
        <w:rPr>
          <w:rFonts w:hint="default" w:ascii="Arial" w:hAnsi="Arial" w:eastAsia="宋体" w:cs="Arial"/>
          <w:lang w:val="en-US" w:eastAsia="zh-CN"/>
        </w:rPr>
        <w:t xml:space="preserve"> </w:t>
      </w:r>
      <w:r>
        <w:rPr>
          <w:rFonts w:hint="eastAsia" w:ascii="Arial" w:hAnsi="Arial" w:eastAsia="宋体" w:cs="Arial"/>
          <w:lang w:val="en-US" w:eastAsia="zh-CN"/>
        </w:rPr>
        <w:t>For example the network may release the SCG while keep the UE maintaining the SCAPC configuration in response to t</w:t>
      </w:r>
      <w:r>
        <w:rPr>
          <w:rFonts w:hint="default" w:ascii="Arial" w:hAnsi="Arial" w:eastAsia="宋体" w:cs="Arial"/>
          <w:sz w:val="21"/>
          <w:lang w:val="en-US" w:eastAsia="zh-CN"/>
        </w:rPr>
        <w:t>he UE’</w:t>
      </w:r>
      <w:r>
        <w:rPr>
          <w:rFonts w:hint="eastAsia" w:ascii="Arial" w:hAnsi="Arial" w:eastAsia="宋体" w:cs="Arial"/>
          <w:sz w:val="21"/>
          <w:lang w:val="en-US" w:eastAsia="zh-CN"/>
        </w:rPr>
        <w:t xml:space="preserve">s overheating conditon reporting or power saving request. If these is the reason, then the UE should not </w:t>
      </w:r>
      <w:r>
        <w:rPr>
          <w:rFonts w:hint="eastAsia" w:ascii="Arial" w:hAnsi="Arial" w:eastAsia="宋体" w:cs="Arial"/>
          <w:lang w:val="en-US" w:eastAsia="zh-CN"/>
        </w:rPr>
        <w:t xml:space="preserve">start execution condition evaluating for subsequent CPA right after SCG release </w:t>
      </w:r>
      <w:r>
        <w:rPr>
          <w:rFonts w:hint="eastAsia" w:ascii="Arial" w:hAnsi="Arial" w:eastAsia="宋体" w:cs="Arial"/>
          <w:sz w:val="21"/>
          <w:lang w:val="en-US" w:eastAsia="zh-CN"/>
        </w:rPr>
        <w:t>as this may cause the frequent add and relased of SCG.</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r>
        <w:rPr>
          <w:rFonts w:hint="eastAsia" w:ascii="Arial" w:hAnsi="Arial" w:cs="Arial" w:eastAsiaTheme="minorEastAsia"/>
          <w:bCs w:val="0"/>
          <w:sz w:val="20"/>
          <w:szCs w:val="20"/>
          <w:lang w:val="en-GB" w:eastAsia="zh-CN"/>
        </w:rPr>
        <w:t xml:space="preserve">Proposal 2: </w:t>
      </w:r>
      <w:r>
        <w:rPr>
          <w:rFonts w:hint="eastAsia" w:ascii="Arial" w:hAnsi="Arial" w:eastAsia="宋体" w:cs="Arial"/>
          <w:lang w:val="en-US" w:eastAsia="zh-CN"/>
        </w:rPr>
        <w:t>UE doesn</w:t>
      </w:r>
      <w:r>
        <w:rPr>
          <w:rFonts w:hint="default" w:ascii="Arial" w:hAnsi="Arial" w:eastAsia="宋体" w:cs="Arial"/>
          <w:lang w:val="en-US" w:eastAsia="zh-CN"/>
        </w:rPr>
        <w:t>’</w:t>
      </w:r>
      <w:r>
        <w:rPr>
          <w:rFonts w:hint="eastAsia" w:ascii="Arial" w:hAnsi="Arial" w:eastAsia="宋体" w:cs="Arial"/>
          <w:lang w:val="en-US" w:eastAsia="zh-CN"/>
        </w:rPr>
        <w:t xml:space="preserve">t start execution condition evaluating for subsequent CPA after SCG release until certain condition(e.g. </w:t>
      </w:r>
      <w:r>
        <w:rPr>
          <w:rFonts w:hint="eastAsia" w:ascii="Arial" w:hAnsi="Arial" w:eastAsia="宋体" w:cs="Arial"/>
          <w:sz w:val="21"/>
          <w:lang w:val="en-US" w:eastAsia="zh-CN"/>
        </w:rPr>
        <w:t>overheating conditon or power saving demand</w:t>
      </w:r>
      <w:r>
        <w:rPr>
          <w:rFonts w:hint="eastAsia" w:ascii="Arial" w:hAnsi="Arial" w:eastAsia="宋体" w:cs="Arial"/>
          <w:lang w:val="en-US" w:eastAsia="zh-CN"/>
        </w:rPr>
        <w:t>) not exist.</w:t>
      </w:r>
      <w:r>
        <w:rPr>
          <w:rFonts w:hint="eastAsia" w:ascii="Arial" w:hAnsi="Arial" w:cs="Arial" w:eastAsiaTheme="minorEastAsia"/>
          <w:bCs w:val="0"/>
          <w:sz w:val="20"/>
          <w:szCs w:val="20"/>
          <w:lang w:val="en-GB" w:eastAsia="zh-CN"/>
        </w:rPr>
        <w:t xml:space="preserve"> </w:t>
      </w:r>
    </w:p>
    <w:p>
      <w:pPr>
        <w:pStyle w:val="11"/>
        <w:keepLines w:val="0"/>
        <w:pageBreakBefore w:val="0"/>
        <w:kinsoku/>
        <w:wordWrap/>
        <w:topLinePunct w:val="0"/>
        <w:bidi w:val="0"/>
        <w:snapToGrid/>
        <w:spacing w:line="360" w:lineRule="auto"/>
        <w:rPr>
          <w:rFonts w:ascii="Arial" w:hAnsi="Arial" w:cs="Arial" w:eastAsiaTheme="minorEastAsia"/>
          <w:b/>
          <w:szCs w:val="20"/>
          <w:lang w:val="en-GB" w:eastAsia="zh-CN"/>
        </w:rPr>
      </w:pPr>
    </w:p>
    <w:p>
      <w:pPr>
        <w:pStyle w:val="2"/>
        <w:keepLines/>
        <w:pBdr>
          <w:top w:val="single" w:color="auto" w:sz="12" w:space="3"/>
        </w:pBdr>
        <w:spacing w:before="240" w:after="180"/>
        <w:ind w:left="425" w:hanging="425"/>
        <w:jc w:val="both"/>
      </w:pPr>
      <w:r>
        <w:t>Conclusion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 xml:space="preserve">: </w:t>
      </w:r>
      <w:r>
        <w:rPr>
          <w:rFonts w:hint="eastAsia" w:ascii="Arial" w:hAnsi="Arial" w:eastAsia="宋体" w:cs="Arial"/>
          <w:lang w:val="en-US" w:eastAsia="zh-CN"/>
        </w:rPr>
        <w:t>UE doesn</w:t>
      </w:r>
      <w:r>
        <w:rPr>
          <w:rFonts w:hint="default" w:ascii="Arial" w:hAnsi="Arial" w:eastAsia="宋体" w:cs="Arial"/>
          <w:lang w:val="en-US" w:eastAsia="zh-CN"/>
        </w:rPr>
        <w:t>’</w:t>
      </w:r>
      <w:r>
        <w:rPr>
          <w:rFonts w:hint="eastAsia" w:ascii="Arial" w:hAnsi="Arial" w:eastAsia="宋体" w:cs="Arial"/>
          <w:lang w:val="en-US" w:eastAsia="zh-CN"/>
        </w:rPr>
        <w:t xml:space="preserve">t start execution condition evaluating for subsequent CPC after previous CPC executing until the </w:t>
      </w:r>
      <w:r>
        <w:rPr>
          <w:rFonts w:hint="default" w:ascii="Arial" w:hAnsi="Arial" w:eastAsia="宋体" w:cs="Arial"/>
          <w:lang w:val="en-US" w:eastAsia="zh-CN"/>
        </w:rPr>
        <w:t xml:space="preserve">signal quality of </w:t>
      </w:r>
      <w:r>
        <w:rPr>
          <w:rFonts w:hint="eastAsia" w:ascii="Arial" w:hAnsi="Arial" w:eastAsia="宋体" w:cs="Arial"/>
          <w:lang w:val="en-US" w:eastAsia="zh-CN"/>
        </w:rPr>
        <w:t xml:space="preserve">current serving </w:t>
      </w:r>
      <w:r>
        <w:rPr>
          <w:rFonts w:hint="default" w:ascii="Arial" w:hAnsi="Arial" w:eastAsia="宋体" w:cs="Arial"/>
          <w:lang w:val="en-US" w:eastAsia="zh-CN"/>
        </w:rPr>
        <w:t>PSCell</w:t>
      </w:r>
      <w:r>
        <w:rPr>
          <w:rFonts w:hint="eastAsia" w:ascii="Arial" w:hAnsi="Arial" w:eastAsia="宋体" w:cs="Arial"/>
          <w:lang w:val="en-US" w:eastAsia="zh-CN"/>
        </w:rPr>
        <w:t xml:space="preserve"> below a threshold</w:t>
      </w:r>
      <w:r>
        <w:rPr>
          <w:rFonts w:hint="eastAsia" w:ascii="Arial" w:hAnsi="Arial" w:cs="Arial" w:eastAsiaTheme="minorEastAsia"/>
          <w:bCs w:val="0"/>
          <w:sz w:val="20"/>
          <w:szCs w:val="20"/>
          <w:lang w:val="en-GB" w:eastAsia="zh-CN"/>
        </w:rPr>
        <w:t>.</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Cs w:val="0"/>
          <w:sz w:val="20"/>
          <w:szCs w:val="20"/>
          <w:lang w:val="en-GB"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r>
        <w:rPr>
          <w:rFonts w:hint="eastAsia" w:ascii="Arial" w:hAnsi="Arial" w:cs="Arial" w:eastAsiaTheme="minorEastAsia"/>
          <w:bCs w:val="0"/>
          <w:sz w:val="20"/>
          <w:szCs w:val="20"/>
          <w:lang w:val="en-GB" w:eastAsia="zh-CN"/>
        </w:rPr>
        <w:t xml:space="preserve">Proposal 2: </w:t>
      </w:r>
      <w:r>
        <w:rPr>
          <w:rFonts w:hint="eastAsia" w:ascii="Arial" w:hAnsi="Arial" w:eastAsia="宋体" w:cs="Arial"/>
          <w:lang w:val="en-US" w:eastAsia="zh-CN"/>
        </w:rPr>
        <w:t>UE doesn</w:t>
      </w:r>
      <w:r>
        <w:rPr>
          <w:rFonts w:hint="default" w:ascii="Arial" w:hAnsi="Arial" w:eastAsia="宋体" w:cs="Arial"/>
          <w:lang w:val="en-US" w:eastAsia="zh-CN"/>
        </w:rPr>
        <w:t>’</w:t>
      </w:r>
      <w:r>
        <w:rPr>
          <w:rFonts w:hint="eastAsia" w:ascii="Arial" w:hAnsi="Arial" w:eastAsia="宋体" w:cs="Arial"/>
          <w:lang w:val="en-US" w:eastAsia="zh-CN"/>
        </w:rPr>
        <w:t xml:space="preserve">t start execution condition evaluating for subsequent CPA after SCG release until certain condition(e.g. </w:t>
      </w:r>
      <w:r>
        <w:rPr>
          <w:rFonts w:hint="eastAsia" w:ascii="Arial" w:hAnsi="Arial" w:eastAsia="宋体" w:cs="Arial"/>
          <w:sz w:val="21"/>
          <w:lang w:val="en-US" w:eastAsia="zh-CN"/>
        </w:rPr>
        <w:t>overheating conditon or power saving demand</w:t>
      </w:r>
      <w:r>
        <w:rPr>
          <w:rFonts w:hint="eastAsia" w:ascii="Arial" w:hAnsi="Arial" w:eastAsia="宋体" w:cs="Arial"/>
          <w:lang w:val="en-US" w:eastAsia="zh-CN"/>
        </w:rPr>
        <w:t>) not exist.</w:t>
      </w:r>
      <w:r>
        <w:rPr>
          <w:rFonts w:hint="eastAsia" w:ascii="Arial" w:hAnsi="Arial" w:cs="Arial" w:eastAsiaTheme="minorEastAsia"/>
          <w:bCs w:val="0"/>
          <w:sz w:val="20"/>
          <w:szCs w:val="20"/>
          <w:lang w:val="en-GB" w:eastAsia="zh-CN"/>
        </w:rPr>
        <w:t xml:space="preserve"> </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11"/>
        <w:keepLines w:val="0"/>
        <w:pageBreakBefore w:val="0"/>
        <w:kinsoku/>
        <w:wordWrap/>
        <w:topLinePunct w:val="0"/>
        <w:bidi w:val="0"/>
        <w:snapToGrid/>
        <w:spacing w:line="360" w:lineRule="auto"/>
        <w:rPr>
          <w:rFonts w:hint="eastAsia" w:ascii="Arial" w:hAnsi="Arial" w:cs="Arial" w:eastAsiaTheme="minorEastAsia"/>
          <w:b/>
          <w:bCs w:val="0"/>
          <w:kern w:val="0"/>
          <w:szCs w:val="18"/>
          <w:lang w:val="en-GB" w:eastAsia="zh-CN"/>
        </w:rPr>
      </w:pPr>
    </w:p>
    <w:p>
      <w:pPr>
        <w:pStyle w:val="2"/>
        <w:keepLines/>
        <w:pBdr>
          <w:top w:val="single" w:color="auto" w:sz="12" w:space="3"/>
        </w:pBdr>
        <w:spacing w:before="240" w:after="180"/>
        <w:ind w:left="425" w:hanging="425"/>
        <w:jc w:val="both"/>
      </w:pPr>
      <w:bookmarkStart w:id="6" w:name="OLE_LINK47"/>
      <w:bookmarkStart w:id="7" w:name="OLE_LINK58"/>
      <w:bookmarkStart w:id="8" w:name="OLE_LINK60"/>
      <w:bookmarkStart w:id="9" w:name="OLE_LINK59"/>
      <w:bookmarkStart w:id="10" w:name="OLE_LINK48"/>
      <w:r>
        <w:t>Reference</w:t>
      </w:r>
      <w:bookmarkEnd w:id="6"/>
      <w:bookmarkEnd w:id="7"/>
      <w:bookmarkEnd w:id="8"/>
      <w:bookmarkEnd w:id="9"/>
      <w:bookmarkEnd w:id="10"/>
    </w:p>
    <w:p>
      <w:pPr>
        <w:pStyle w:val="11"/>
        <w:numPr>
          <w:ilvl w:val="0"/>
          <w:numId w:val="6"/>
        </w:numPr>
        <w:spacing w:before="120" w:beforeLines="50"/>
        <w:rPr>
          <w:rFonts w:eastAsia="宋体"/>
          <w:lang w:eastAsia="zh-CN"/>
        </w:rPr>
      </w:pPr>
      <w:r>
        <w:rPr>
          <w:rFonts w:hint="eastAsia" w:eastAsia="宋体"/>
          <w:lang w:eastAsia="zh-CN"/>
        </w:rPr>
        <w:t>Draft_R2_124_Meeting_Report_v1.docx</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 w:name="@宋体">
    <w:panose1 w:val="02010600030101010101"/>
    <w:charset w:val="86"/>
    <w:family w:val="auto"/>
    <w:pitch w:val="variable"/>
    <w:sig w:usb0="000000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3F47970"/>
    <w:rsid w:val="050C0141"/>
    <w:rsid w:val="06510970"/>
    <w:rsid w:val="06797CD3"/>
    <w:rsid w:val="06FF294D"/>
    <w:rsid w:val="07EF5BD4"/>
    <w:rsid w:val="08A22A43"/>
    <w:rsid w:val="0A6D15CC"/>
    <w:rsid w:val="0D860A22"/>
    <w:rsid w:val="0F417E38"/>
    <w:rsid w:val="108123D4"/>
    <w:rsid w:val="10C66D19"/>
    <w:rsid w:val="12105415"/>
    <w:rsid w:val="126256E5"/>
    <w:rsid w:val="14926ED8"/>
    <w:rsid w:val="15215CC8"/>
    <w:rsid w:val="15462052"/>
    <w:rsid w:val="15DE1242"/>
    <w:rsid w:val="166C39B7"/>
    <w:rsid w:val="16AA6D34"/>
    <w:rsid w:val="176647AC"/>
    <w:rsid w:val="179A1B0C"/>
    <w:rsid w:val="198E0015"/>
    <w:rsid w:val="1ABB6560"/>
    <w:rsid w:val="1B445D6E"/>
    <w:rsid w:val="1B59397D"/>
    <w:rsid w:val="1C7B4CA3"/>
    <w:rsid w:val="1E523033"/>
    <w:rsid w:val="1F045CEA"/>
    <w:rsid w:val="1FAF7026"/>
    <w:rsid w:val="20462FD7"/>
    <w:rsid w:val="21CD368A"/>
    <w:rsid w:val="221016C7"/>
    <w:rsid w:val="228D678C"/>
    <w:rsid w:val="22A27F45"/>
    <w:rsid w:val="23967BC1"/>
    <w:rsid w:val="24966A58"/>
    <w:rsid w:val="24E86231"/>
    <w:rsid w:val="26672625"/>
    <w:rsid w:val="26F53B52"/>
    <w:rsid w:val="27E9536C"/>
    <w:rsid w:val="282B7F1A"/>
    <w:rsid w:val="282E6418"/>
    <w:rsid w:val="28514B4F"/>
    <w:rsid w:val="2BC97744"/>
    <w:rsid w:val="2C167DFF"/>
    <w:rsid w:val="2C5E3FAA"/>
    <w:rsid w:val="2E3E1AA5"/>
    <w:rsid w:val="2FE018AF"/>
    <w:rsid w:val="30AD73A5"/>
    <w:rsid w:val="329B7C99"/>
    <w:rsid w:val="32C77F8C"/>
    <w:rsid w:val="32CB387D"/>
    <w:rsid w:val="335B0D8A"/>
    <w:rsid w:val="33B41D34"/>
    <w:rsid w:val="356754B7"/>
    <w:rsid w:val="35A53430"/>
    <w:rsid w:val="388B34B6"/>
    <w:rsid w:val="393B37B4"/>
    <w:rsid w:val="3C7A0817"/>
    <w:rsid w:val="3CD70242"/>
    <w:rsid w:val="41D14C1D"/>
    <w:rsid w:val="435F628D"/>
    <w:rsid w:val="45B063D8"/>
    <w:rsid w:val="470C53DE"/>
    <w:rsid w:val="4779366F"/>
    <w:rsid w:val="482B0659"/>
    <w:rsid w:val="487E4912"/>
    <w:rsid w:val="48B061A5"/>
    <w:rsid w:val="48F165EB"/>
    <w:rsid w:val="49D966E1"/>
    <w:rsid w:val="49F62F33"/>
    <w:rsid w:val="4D8917CF"/>
    <w:rsid w:val="4EFC5EF9"/>
    <w:rsid w:val="4F1F0E61"/>
    <w:rsid w:val="4FB27051"/>
    <w:rsid w:val="51951B3D"/>
    <w:rsid w:val="5215436D"/>
    <w:rsid w:val="55EB6E4E"/>
    <w:rsid w:val="561B49FC"/>
    <w:rsid w:val="56561485"/>
    <w:rsid w:val="58196C7F"/>
    <w:rsid w:val="5A0B344B"/>
    <w:rsid w:val="5C481980"/>
    <w:rsid w:val="5CEE0CA7"/>
    <w:rsid w:val="5D474464"/>
    <w:rsid w:val="5EE9029B"/>
    <w:rsid w:val="5F7C0711"/>
    <w:rsid w:val="5FEF6ACE"/>
    <w:rsid w:val="60B34005"/>
    <w:rsid w:val="60E953AA"/>
    <w:rsid w:val="61483DCA"/>
    <w:rsid w:val="61786A80"/>
    <w:rsid w:val="61BA59D1"/>
    <w:rsid w:val="61DC00C2"/>
    <w:rsid w:val="62815194"/>
    <w:rsid w:val="630A7F69"/>
    <w:rsid w:val="63E1421B"/>
    <w:rsid w:val="651923CA"/>
    <w:rsid w:val="66E37CF1"/>
    <w:rsid w:val="69701295"/>
    <w:rsid w:val="69A27629"/>
    <w:rsid w:val="6A9D7635"/>
    <w:rsid w:val="6ABC46FD"/>
    <w:rsid w:val="6B8D221A"/>
    <w:rsid w:val="6C750DEF"/>
    <w:rsid w:val="6D16046B"/>
    <w:rsid w:val="6D9A5E61"/>
    <w:rsid w:val="6E0D1FE7"/>
    <w:rsid w:val="6F740CE2"/>
    <w:rsid w:val="70436DC4"/>
    <w:rsid w:val="7055318F"/>
    <w:rsid w:val="71314C8A"/>
    <w:rsid w:val="71B9201A"/>
    <w:rsid w:val="72402019"/>
    <w:rsid w:val="727A4FD4"/>
    <w:rsid w:val="731D23A2"/>
    <w:rsid w:val="74201914"/>
    <w:rsid w:val="745C718B"/>
    <w:rsid w:val="74F97BE7"/>
    <w:rsid w:val="76700534"/>
    <w:rsid w:val="77760276"/>
    <w:rsid w:val="7A4B5FBA"/>
    <w:rsid w:val="7A5E174B"/>
    <w:rsid w:val="7A9C7192"/>
    <w:rsid w:val="7B826359"/>
    <w:rsid w:val="7BF20CB4"/>
    <w:rsid w:val="7C330D5B"/>
    <w:rsid w:val="7CB92E75"/>
    <w:rsid w:val="7D8C0969"/>
    <w:rsid w:val="7DF4667A"/>
    <w:rsid w:val="7EC92764"/>
    <w:rsid w:val="7F3D0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1</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WEN.WU5</cp:lastModifiedBy>
  <cp:lastPrinted>2007-08-29T03:45:00Z</cp:lastPrinted>
  <dcterms:modified xsi:type="dcterms:W3CDTF">2024-02-19T01:31:37Z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